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392</w:t>
      </w:r>
    </w:p>
    <w:p>
      <w:r>
        <w:t>Bundesgericht (BGE), 2003-11-21, DE</w:t>
      </w:r>
    </w:p>
    <w:p>
      <w:r>
        <w:rPr>
          <w:b/>
        </w:rPr>
        <w:t xml:space="preserve">Quelle: </w:t>
      </w:r>
      <w:r>
        <w:t>https://mcp.opencaselaw.ch/entscheid/bge_129 I 392</w:t>
      </w:r>
    </w:p>
    <w:p>
      <w:r>
        <w:t>FR: ATF 129 I 392</w:t>
      </w:r>
    </w:p>
    <w:p>
      <w:r>
        <w:t>IT: DTF 129 I 392</w:t>
      </w:r>
    </w:p>
    <w:p>
      <w:pPr>
        <w:pStyle w:val="Heading2"/>
      </w:pPr>
      <w:r>
        <w:t>Regeste</w:t>
      </w:r>
    </w:p>
    <w:p>
      <w:r>
        <w:t>Regeste Art. 8 Abs. 1 und 2, Art. 34 Abs. 1 BV; stadtzürcherische Initiative "SchweizerInnen zuerst!"; Rechtsgleichheit, Diskriminierungsverbot. Die Initiative bezweckt die Bevorzugung der Schweizer und damit die Benachteiligung der Ausländer auch ohne sachliche Gründe, die eine Ungleichbehandlung erlauben würden. Sie verletzt das Gebot der Rechtsgleichheit und das Diskriminierungsverbot der Bundesverfassung (E. 3).</w:t>
      </w:r>
    </w:p>
    <w:p>
      <w:pPr>
        <w:pStyle w:val="Heading2"/>
      </w:pPr>
      <w:r>
        <w:t>Erwägungen</w:t>
      </w:r>
    </w:p>
    <w:p>
      <w:r>
        <w:rPr>
          <w:b/>
        </w:rPr>
        <w:t>E. 2.1</w:t>
      </w:r>
    </w:p>
    <w:p>
      <w:r>
        <w:t>Art. 34 Abs. 1 BV gewährleistet die politischen Rechte sowohl auf der Ebene des Bundes wie auch der Kantone und Gemeinden (Urteil 1P.69/2001 / 1P.205/2001 vom 28. Juni 2001, publ. in: ZBl 103/2002 S. 206 ff., E. 3a; GEROLD STEINMANN, Die Gewährleistung der politischen Rechte durch die neue Bundesverfassung [Artikel 34 BV], ZBJV 139/2003 S. 485 ff.).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mit Hinweisen).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123 I 175 E. 2d/aa mit Hinweisen).</w:t>
      </w:r>
    </w:p>
    <w:p>
      <w:r>
        <w:rPr>
          <w:b/>
        </w:rPr>
        <w:t>E. 2.2</w:t>
      </w:r>
    </w:p>
    <w:p>
      <w:r>
        <w:t>Gemäss § 4 des Initiativgesetzes des Kantons Zürich vom 1. Juni 1969 (IG) ist eine Initiative unter anderem dann ungültig, BGE 129 I 392 S. 395 wenn sie dem Bundesrecht widerspricht (Ziff. 1). Allgemein gilt, dass eine Volksinitiative keine Bestimmungen enthalten darf, die dem übergeordneten Recht widersprechen ( BGE 129 I 232 E. 2; BGE 128 I 190 E. 4 mit Hinweisen). 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129 I 232 E. 2.3; BGE 111 Ia 303 E. 4 mit Hinweisen). Der Text einer Initiative muss genügend bestimmt sein. Es muss hinreichend klar sein, worauf die Initiative gerichtet ist, so dass eine Volksabstimmung durchgeführt werden kann, ohne dass sich die Stimmberechtigten der Gefahr eines Irrtums über wesentliche Punkte ausgesetzt sehen. Das Erfordernis der hinlänglichen Klarheit gilt sowohl bei einem ausgearbeiteten Entwurf als auch bei einer allgemeinen Anregung. Bei letzterer sind an die Formulierung allerdings keine hohen Ansprüche zu stellen, da gewisse Unklarheiten, ja vielleicht sogar Widersprüche, bei der Ausarbeitung des Gesetzes- oder Beschlusstextes im Parlament noch behoben werden können ( BGE 111 Ia 115 E. 3a S. 118/119, 303 E. 7b S. 315 mit Hinweisen; LUZIAN ODERMATT, Ungültigerklärung von Volksinitiativen, AJP 1996 S. 717; H.R. THALMANN, Kommentar zum Zürcher Gemeindegesetz, 3. Aufl., Wädenswil 2000, S. 147 § 50 N. 3.6).</w:t>
      </w:r>
    </w:p>
    <w:p>
      <w:r>
        <w:rPr>
          <w:b/>
        </w:rPr>
        <w:t>E. 2.3</w:t>
      </w:r>
    </w:p>
    <w:p>
      <w:r>
        <w:t>Gemäss Art. 15 Abs. 1 der Gemeindeordnung der Stadt Zürich vom 26. April 1970 (GO) kann mit einer Volksinitiative der Erlass, die Änderung oder die Aufhebung eines Beschlusses verlangt werden, der dem obligatorischen oder dem fakultativen Referendum untersteht. Die Initiative ist in Form der einfachen Anregung oder des ausgearbeiteten Entwurfs möglich (Art. 17 GO und § 98 Abs. 1 des Gemeindegesetzes des Kantons Zürich vom 6. Juni 1926 [GG] in Verbindung mit § 2 IG). BGE 129 I 392 S. 396 Mit der Initiative "SchweizerInnen zuerst!" wird die Einfügung eines Absatzes 2 in Art. 2 GO verlangt. Die Initiative stellt einen ausgearbeiteten Entwurf dar. Art. 2 GO lautet in der heutigen Fassung: Die Gemeinde fördert die Wohlfahrt und das harmonische Zusammenleben ihrer Bewohnerinnen und Bewohner. Sie wahrt das Ansehen und die Interessen des Gemeinwesens.</w:t>
      </w:r>
    </w:p>
    <w:p>
      <w:r>
        <w:rPr>
          <w:b/>
        </w:rPr>
        <w:t>E. 3.1</w:t>
      </w:r>
    </w:p>
    <w:p>
      <w:r>
        <w:t>Nach Satz 1 der Volksinitiative "SchweizerInnen zuerst!" wachen die Gemeindebehörden darüber, dass Zürich eine schweizerisch geprägte Stadt bleibt. Der Regierungsrat nimmt an, der Initiative fehle es insoweit an der nötigen Bestimmtheit. Satz 1 steht in engem Zusammenhang mit Satz 2 der Initiative, der das Mittel zum Erreichen des Zweckes von Satz 1 nennt: Die Gemeindebehörden sollen im Rahmen des übergeordneten Rechts den Bedürfnissen der Schweizerinnen und Schweizer den Vorrang einräumen, damit Zürich eine schweizerisch geprägte Stadt bleibe. Die Kehrseite dieses Vorrangs ist die Benachteiligung der Ausländer. Dadurch sollen diese davon abgehalten werden, nach Zürich zu kommen. Dass darin der Zweck der Initiative liegt, zeigt auch ihre Begründung. Dort wird insbesondere gesagt, der Ausländeranteil nehme in Zürich seit vielen Jahren unablässig zu; in vielen Schulen seien die Schweizer Kinder längst in der Minderheit; die ungebremste Zuwanderung von kaum assimilierbaren Ausländern aus völlig fremden Kulturkreisen belaste das soziale Netz aufs Äusserste. Das Kernanliegen der Initianten ist in Satz 2 enthalten; dies ergibt sich auch aus dem Titel der Initiative ("SchweizerInnen zuerst!"). Da mit dem Wegfall von Satz 2 die Initiative ihres wesentlichen Gehalts beraubt würde, kommt die Annahme der Teilgültigkeit von Satz 1 nicht in Betracht (vgl. BGE 125 I 21 E. 7b S. 44 mit Hinweisen; YVO HANGARTNER/ANDREAS KLEY, Die demokratischen Rechte in Bund und Kantonen der Schweizerischen Eidgenossenschaft, Zürich 2000, S. 847 N. 2143). Es kann daher offen bleiben, wie es sich verhielte, wenn Satz 1 für sich allein zu beurteilen wäre. Der Text der Initiative muss als Ganzes betrachtet werden. Es stellt sich die Frage, ob der von der Initiative geforderte Vorrang der Schweizer mit dem Bundesrecht in Einklang steht.</w:t>
      </w:r>
    </w:p>
    <w:p>
      <w:r>
        <w:rPr>
          <w:b/>
        </w:rPr>
        <w:t>E. 3.2.1</w:t>
      </w:r>
    </w:p>
    <w:p>
      <w:r>
        <w:t>Die in Satz 2 der Initiative enthaltene Forderung, den Bedürfnissen der Schweizerinnen und Schweizer den Vorrang einzuräumen, richtet sich an alle Gemeindebehörden und umfasst sämtliche kommunalen BGE 129 I 392 S. 397 Zuständigkeiten in Rechtsetzung, Rechtsanwendung und Verwaltung. Es handelt sich um eine Entscheidungs- und Handlungsmaxime: Den Schweizerinnen und Schweizern ist der Vorrang einzuräumen gegenüber den Ausländerinnen und Ausländern, die in der Stadt Zürich wohnen oder sich dort aufhalten. In dieser generellen Bevorzugung der Schweizerinnen und Schweizer erblickt der Regierungsrat einen Verstoss gegen das Diskriminierungsverbot. Demgegenüber weisen die Beschwerdeführer u.a. darauf hin, dass die Initiative unter dem Vorbehalt des übergeordneten Rechts steht.</w:t>
      </w:r>
    </w:p>
    <w:p>
      <w:r>
        <w:rPr>
          <w:b/>
        </w:rPr>
        <w:t>E. 3.2.2</w:t>
      </w:r>
    </w:p>
    <w:p>
      <w:r>
        <w:t>Gemäss Art. 8 Abs. 1 BV sind alle Menschen vor dem Gesetz gleich. Die Rechtsgleichheit gilt nach dem klaren Wortlaut dieser Bestimmung für alle Menschen, also auch für Ausländer (Botschaft über eine neue Bundesverfassung vom 20. November 1996, BBl 1997 I 142). Art. 4 Abs. 1 aBV sagte noch: Alle Schweizer sind vor dem Gesetze gleich. Schon unter der Herrschaft der alten Bundesverfassung konnten sich jedoch auch die Ausländer auf die Rechtsgleichheit berufen ( BGE 125 IV 1 E. 5b; GEORG MÜLLER, Kommentar zur Bundesverfassung der Schweizerischen Eidgenossenschaft vom 29. Mai 1874, N. 26 zu Art. 4 aBV ).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der Rechtsprechung liegt eine Diskriminierung vor, wenn eine Person rechtsungleich behandelt wird allein aufgrund ihrer Zugehörigkeit zu einer bestimmten Gruppe, welche historisch und in der gegenwärtigen sozialen Wirklichkeit tendenziell ausgegrenzt oder als minderwertig behandelt wurde.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BGE 129 I 392 S. 398 den blossen Verdacht einer unzulässigen Differenzierung, der nur durch eine genügende Rechtfertigung umgestossen werden kann. Das Diskriminierungsverbot hat also rechtlich die Bedeutung, dass ungleiche Behandlungen einer besonders qualifizierten Begründungspflicht unterstehen ( BGE 129 I 232 E. 3.4.1 mit Hinweisen). In Art. 8 Abs. 2 BV hat der schweizerische Verfassungsgeber in den Grundzügen die internationalen Grundrechtsgarantien aufgenommen, wie sie insbesondere in Art. 14 EMRK und verschiedenen Bestimmungen des UNO-Paktes II (SR 0.103.2) enthalten sind (vgl. JÖRG PAUL MÜLLER, Grundrechte in der Schweiz, 3. Aufl., Bern 1999, S. 417; YVO HANGARTNER, Diskriminierung - ein neuer verfassungsrechtlicher Begriff, ZSR 122/2003 I S. 98/99; BERNHARD PULVER, L'interdiction de la discrimination, Diss. Neuenburg 2003, S. 25 ff.). "Herkunft" im Sinne von Art. 8 Abs. 2 BV zielt vor allem auf Menschen, die unter anderem wegen ihrer nationalen Herkunft von Diskriminierung bedroht sind (JÖRG PAUL MÜLLER, a.a.O., S. 420; derselbe, Die Diskriminierungsverbote nach Art. 8 Abs. 2 der neuen Bundesverfassung, in: Ulrich Zimmerli [Hrsg.], Die neue Bundesverfassung, Bern 2000, S. 118; AUER/MALINVERNI/HOTTELIER, Droit constitutionnel suisse, Bd. II, Bern 2000, S. 507 N. 1038; PULVER, a.a.O., S. 190 N. 263). Ausländer sollen gegenüber Schweizern oder auch unter sich nicht diskriminiert werden (HANGARTNER, a.a.O., S. 100). Das Gebot der Rechtsgleichheit und das Verbot der Diskriminierung untersagen es dem Staat, Menschen einfach deshalb unterschiedlich zu behandeln und damit zu benachteiligen, weil sie fremder Herkunft sind oder einer anderen Kultur oder Religion angehören (WALTER KÄLIN, Grundrechte im Kulturkonflikt, Zürich 2000, S. 97; WALTER KÄLIN/MARTINA CARONI, Das verfassungsrechtliche Verbot der Diskriminierung wegen der ethnisch-kulturellen Herkunft, in: Walter Kälin [Hrsg.], Das Verbot ethnisch-kultureller Diskriminierung, Beiheft 29 zur Zeitschrift für Schweizerisches Recht, Basel 1999, S. 68). Die Diskriminierung muss sich nicht gezielt und direkt gegen Angehörige bestimmter Personengruppen richten. Sie kann sich auch daraus ergeben, dass andere wegen einer persönlichen Eigenschaft bevorzugt werden. Durch eine Privilegierung in Anknüpfung an ein verpöntes persönliches Merkmal wird unmittelbar diskriminiert, nämlich durch direkte Benachteiligung der Nichtprivilegierten (HANGARTNER, a.a.O., S. 106).</w:t>
      </w:r>
    </w:p>
    <w:p>
      <w:r>
        <w:rPr>
          <w:b/>
        </w:rPr>
        <w:t>E. 3.2.3</w:t>
      </w:r>
    </w:p>
    <w:p>
      <w:r>
        <w:t>Eine unterschiedliche Behandlung von Ausländern und Schweizern ist nicht von vornherein rechtsungleich oder diskriminierend. BGE 129 I 392 S. 399 Sie ist vielmehr nach der Rechtsprechung und der einhelligen Lehre zulässig, soweit dafür sachliche Gründe bestehen ( BGE 125 IV 1 E. 5b; BGE 114 Ia 8 E. 3; DANIEL THÜRER, Einleitung: Gerechtigkeit im Ausländerrecht?, in: Uebersax/Münch/Geiser/Arnold [Hrsg.], Ausländerrecht, Basel 2002, S. 30 N. 1.64; WALTER KÄLIN, a.a.O., S. 101 ff.; derselbe, Ausländerdiskriminierung, Festschrift für Yvo Hangartner, St. Gallen 1998, S. 565/566 und 574; KÄLIN/CARONI, a.a.O., S. 72; HANGARTNER, a.a.O., S. 117; PULVER, a.a.O., S. 204 ff. N. 280 ff.). Zu beachten sind dabei allerdings Einschränkungen, die sich für die Schweiz gegebenenfalls aus den von ihr eingegangenen völkerrechtlichen Verpflichtungen ergeben. So haben nach dem Abkommen vom 21. Juni 1999 zwischen der Schweizerischen Eidgenossenschaft einerseits und der Europäischen Gemeinschaft und ihren Mitgliedstaaten anderseits über die Freizügigkeit (FZA; SR 0.142.112.681) Personen, deren Aufenthalt bewilligt wurde, Ansprüche auf Nichtdiskriminierung und Gleichbehandlung mit den Inländern. Zentraler Grundsatz des Abkommens ist das Verbot, die Staatsangehörigen einer Vertragspartei, die sich rechtmässig im Hoheitsgebiet einer anderen Vertragspartei aufhalten, bei der Anwendung dieses Abkommens gemäss den Anhängen I, II und III auf Grund ihrer Staatsangehörigkeit zu diskriminieren ( Art. 2 FZA ). Damit werden das allgemeine Diskriminierungsverbot von Art. 12 des Vertrags zur Gründung der Europäischen Gemeinschaft (EGV) und das Gebot der "Abschaffung jeder auf der Staatsangehörigkeit beruhenden unterschiedlichen Behandlung der Arbeitnehmer aus den Mitgliedstaaten in Bezug auf Beschäftigung, Entlohnung und sonstige Arbeitsbedingungen" gemäss Art. 39 EGV für den Bereich des freien Personenverkehrs mit der Schweiz übernommen (WALTER KÄLIN, Die Bedeutung des Freizügigkeitsabkommens für das Ausländerrecht, in: Thomas Cottier/Matthias Oesch [Hrsg.], Die sektoriellen Abkommen Schweiz-EG, Bern 2002, S. 30 ff.; vgl. auch DIETER GROSSEN, Sonderregelungen für Staatsangehörige der EU-Mitgliedstaaten, in: Uebersax/Münch/Geiser/Arnold [Hrsg.], Ausländerrecht, Basel 2002, S. 113 N. 4.2 f.).</w:t>
      </w:r>
    </w:p>
    <w:p>
      <w:r>
        <w:rPr>
          <w:b/>
        </w:rPr>
        <w:t>E. 3.3</w:t>
      </w:r>
    </w:p>
    <w:p>
      <w:r>
        <w:t>Die von der Initiative geforderte Vorrangstellung der Schweizerinnen und Schweizer kann von vornherein nur im Rahmen kommunaler Zuständigkeiten Wirkung entfalten. Damit fällt der ganze Bereich des Ausländerrechts (Ein- und Ausreise, Aufenthalt und Niederlassung sowie Asyl) ausser Betracht. Gemäss Art. 121 Abs. 1 BV ist die Gesetzgebung über die Ein- und Ausreise, den Aufenthalt und die Niederlassung von Ausländerinnen BGE 129 I 392 S. 400 und Ausländern sowie über die Gewährung von Asyl Sache des Bundes. Die Gesetzgebungsbefugnis des Bundes ist insoweit umfassend (ULRICH CAVELTI, in: Ehrenzeller/Mastronardi/Schweizer/Vallender [Hrsg.], Die schweizerische Bundesverfassung, Kommentar, 2002, N. 4 zu Art. 121 BV ). Der Bund hat davon einen weiten Gebrauch gemacht, so dass kein Raum mehr bleibt für kantonale Regelungen (JEAN-FRANÇOIS AUBERT/PASCAL MAHON, Petit commentaire de la Constitution fédérale de la Confédération suisse, Zürich 2003, N. 11 zu Art. 121 BV ). Die Kantone haben im Wesentlichen lediglich Vollzugsaufgaben (PETER UEBERSAX, Einreise und Anwesenheit, in: Uebersax/Münch/Geiser/Arnold [Hrsg.], Ausländerrecht, Basel 2002, S. 134 N. 5.1). Die kantonale Fremdenpolizeibehörde, im Kanton Zürich das Migrationsamt, entscheidet im Rahmen der gesetzlichen Kriterien nach freiem Ermessen über Erteilung und Fortbestand der Aufenthalts- und Niederlassungsbewilligungen ( Art. 15 ANAG [SR 142.20]; Art. 8 Abs. 1 und 2 ANAV [SR 142.201]). Die Gemeinden sind nicht befugt, die Zahl der Ausländer zu begrenzen. Die Beschwerdeführer 1-6 anerkennen das. Die Initiative kann somit nicht dahin ausgelegt werden, dass die Gemeindebehörden den Anteil der Ausländer in Zürich zu beschränken hätten. Wie dargelegt (E. 3.2.3), gestattet die Verfassung eine unterschiedliche Behandlung von Schweizern und Ausländern, soweit dafür sachliche Gründe bestehen. Dies ist insbesondere der Fall bei den politischen Rechten und dem Zugang zu gewissen öffentlichen Ämtern. Soweit hier das kommunale Recht an das Bürgerrecht anknüpft, ist nicht ersichtlich, inwiefern der Initiative normative Bedeutung zukommen könnte; denn in all diesen Fällen sind Ausländerinnen und Ausländer ausgeschlossen und die Frage des Vorrangs der Schweizerinnen und Schweizer stellt sich nicht. Satz 2 der Initiative zielt auf Sachbereiche, in denen eine unterschiedliche Behandlung von Schweizern und Ausländern ausgeschlossen ist. Sie bezweckt eine Bevorzugung der Schweizerinnen und Schweizer gegenüber Ausländerinnen und Ausländern in vom Gebot der Rechtsgleichheit beherrschten Bereichen. Vernünftigerweise kann der Bestimmung kein anderer Sinn beigemessen werden. Eine Deutung des Textes als Kompetenznorm für Massnahmen zur Förderung einheimischer Kulturangebote in der Stadt Zürich etwa würde die Schranken sprengen, die durch die Interpretationsgrundsätze gesetzt sind. Hätten die Initianten eine solche Kompetenznorm schaffen wollen, hätten sie dies hinreichend deutlich zum Ausdruck bringen und den Text der Initiative anders und wesentlich BGE 129 I 392 S. 401 enger fassen müssen. Der vorliegende Text der Initiative lässt sich ebenso wenig auf eine blosse Programmaussage reduzieren, welche einerseits als Gegenposition zum Leitbild des Stadtrates, das auf dem Konzept der so genannten "multikulturellen Gesellschaft" beruhen soll, zu verstehen und anderseits bei der Rechtsetzung zu beachten wäre, soweit eine unterschiedliche Behandlung von Schweizern und Ausländern - wie z.B. im Bereich der politischen Rechte - zulässig ist. Die Initiative kann nur so verstanden werden, dass sie auch ohne sachliche Gründe, die eine Ungleichbehandlung erlauben würden, die Schweizer gegenüber den Ausländern bevorzugen und damit die Letzteren gegenüber den Ersteren benachteiligen will, damit Zürich - gemäss dem Ziel der Initiative - eine schweizerisch geprägte Stadt bleibe. Das verstösst gegen das Gebot der rechtsgleichen Behandlung und gegen das Diskriminierungsverbot der Bundesverfassung (Art. 8 Abs. 1 und 2). Zwischen dem Sinn und Zweck der Initiative und diesen Geboten des übergeordneten Rechts besteht ein unauflösbarer Widerspruch. Sie verlangt letztlich Rechtsungleichheit im Rahmen der Rechtsgleichheit, was sich gegenseitig ausschliesst. Daran vermag der Vorbehalt "im Rahmen des übergeordneten Rechts" nichts zu ändern. Dass ein allgemeiner Vorbehalt zugunsten des Bundesrechts für sich allein nicht genügt, um die Übereinstimmung einer Initiative mit dem höherrangigen Recht zu gewährleisten, hat das Bundesgericht bereits entschieden ( BGE 125 I 227 E. 4; BGE 117 Ia 147 E. 6b S. 156 f.). Wäre es anders, könnte jede noch so klar bundesrechtswidrige Initiative mit einer entsprechenden Klausel vor der Ungültigerklärung bewahrt werden und die Stimmberechtigten würden aufgerufen, sich zu einer Initiative zu äussern, deren Ziel gar nicht verwirklicht werden kann, was mit der Garantie der politischen Rechte unvereinbar ist (vgl. ALFRED KÖLZ, Die kantonale Volksinitiative in der Rechtsprechung des Bundesgerichts, ZBl 83/1982 S. 46).</w:t>
      </w:r>
    </w:p>
    <w:p>
      <w:r>
        <w:rPr>
          <w:b/>
        </w:rPr>
        <w:t>E. 3.4</w:t>
      </w:r>
    </w:p>
    <w:p>
      <w:r>
        <w:t>Der angefochtene Beschluss, mit dem der Regierungsrat - gleich wie der Gemeinderat auf Antrag des Stadtrates - die Initiative als ungültig beurteilte, verletzt daher die Garantie der politischen Rechte gemäss Art. 34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